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696ECF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696ECF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696ECF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7A1180" w:rsidP="00DC6C96">
      <w:pPr>
        <w:pStyle w:val="3"/>
        <w:jc w:val="left"/>
        <w:rPr>
          <w:b w:val="0"/>
          <w:sz w:val="15"/>
          <w:lang w:val="uk-UA"/>
        </w:rPr>
      </w:pPr>
      <w:r w:rsidRPr="00696ECF">
        <w:rPr>
          <w:b w:val="0"/>
          <w:sz w:val="20"/>
          <w:szCs w:val="20"/>
          <w:u w:val="single"/>
        </w:rPr>
        <w:t>29.04.2021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696ECF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696ECF">
        <w:rPr>
          <w:b w:val="0"/>
          <w:sz w:val="20"/>
          <w:szCs w:val="20"/>
        </w:rPr>
        <w:t xml:space="preserve"> </w:t>
      </w:r>
      <w:r w:rsidR="007A1180" w:rsidRPr="00696ECF">
        <w:rPr>
          <w:b w:val="0"/>
          <w:sz w:val="20"/>
          <w:szCs w:val="20"/>
          <w:u w:val="single"/>
        </w:rPr>
        <w:t>53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696EC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7A1180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Голова правлiння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7A1180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Вiтвiцький Iван Дем'янович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696ECF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696ECF" w:rsidRDefault="007A1180" w:rsidP="00DC6C96">
            <w:pPr>
              <w:rPr>
                <w:sz w:val="20"/>
                <w:szCs w:val="20"/>
              </w:rPr>
            </w:pPr>
            <w:r w:rsidRPr="00696ECF">
              <w:rPr>
                <w:sz w:val="20"/>
                <w:szCs w:val="20"/>
              </w:rPr>
              <w:t>ПРИВАТНЕ АКЦ</w:t>
            </w:r>
            <w:r>
              <w:rPr>
                <w:sz w:val="20"/>
                <w:szCs w:val="20"/>
                <w:lang w:val="en-US"/>
              </w:rPr>
              <w:t>I</w:t>
            </w:r>
            <w:r w:rsidRPr="00696ECF">
              <w:rPr>
                <w:sz w:val="20"/>
                <w:szCs w:val="20"/>
              </w:rPr>
              <w:t>ОНЕРНЕ ТОВАРИСТВО "АВТОТРАНСПОРТНЕ П</w:t>
            </w:r>
            <w:r>
              <w:rPr>
                <w:sz w:val="20"/>
                <w:szCs w:val="20"/>
                <w:lang w:val="en-US"/>
              </w:rPr>
              <w:t>I</w:t>
            </w:r>
            <w:r w:rsidRPr="00696ECF">
              <w:rPr>
                <w:sz w:val="20"/>
                <w:szCs w:val="20"/>
              </w:rPr>
              <w:t>ДПРИЄМСТВО 15162"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DF42E6" w:rsidRDefault="007A1180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65031 м. Одеса вул. Промислова, 21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03118038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(0482) 377209 (0482) 377209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03118038@atp15162.pat.ua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7A1180" w:rsidRPr="00696ECF" w:rsidRDefault="007A1180" w:rsidP="00DC6C96">
            <w:pPr>
              <w:rPr>
                <w:sz w:val="20"/>
                <w:szCs w:val="20"/>
              </w:rPr>
            </w:pPr>
            <w:r w:rsidRPr="00696ECF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7A1180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7A1180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531337" w:rsidRPr="009A60E3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7A1180" w:rsidRPr="00696ECF" w:rsidRDefault="007A1180" w:rsidP="00DC6C96">
            <w:pPr>
              <w:rPr>
                <w:sz w:val="20"/>
                <w:szCs w:val="20"/>
              </w:rPr>
            </w:pPr>
            <w:r w:rsidRPr="00696ECF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7A1180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7A1180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7A1180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7A1180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http://atp15162.pat.ua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7A1180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A5322D" w:rsidRDefault="00A5322D" w:rsidP="00C86AFD">
      <w:pPr>
        <w:rPr>
          <w:lang w:val="en-US"/>
        </w:rPr>
        <w:sectPr w:rsidR="00A5322D" w:rsidSect="007A1180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A5322D" w:rsidRDefault="00A5322D" w:rsidP="00A5322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A5322D" w:rsidRPr="0090056A" w:rsidRDefault="00A5322D" w:rsidP="00A5322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A5322D" w:rsidRPr="00171381" w:rsidRDefault="00A5322D" w:rsidP="00A5322D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587"/>
        <w:gridCol w:w="1744"/>
        <w:gridCol w:w="1946"/>
        <w:gridCol w:w="3245"/>
      </w:tblGrid>
      <w:tr w:rsidR="00A5322D" w:rsidRPr="00335999" w:rsidTr="00ED38AC">
        <w:trPr>
          <w:trHeight w:val="121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A5322D" w:rsidRPr="00335999" w:rsidTr="00ED38AC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2D" w:rsidRPr="00335999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A5322D" w:rsidRPr="00234FFC" w:rsidTr="00ED38AC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7872.500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88.91712000000</w:t>
            </w:r>
          </w:p>
        </w:tc>
      </w:tr>
      <w:tr w:rsidR="00A5322D" w:rsidRPr="00234FFC" w:rsidTr="00ED38AC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234FFC" w:rsidRDefault="00A5322D" w:rsidP="00ED38AC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A5322D" w:rsidRPr="00234FFC" w:rsidTr="00ED38AC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2D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 - 29.04.2021 р.</w:t>
            </w:r>
          </w:p>
          <w:p w:rsidR="00A5322D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Відомості щодо правочинів із зазначенням їх характеру- значні правочини (правочини, які будуть пов'язані з господарською діяльністю Товариства згідно із статутом; надання фінансової допомоги, позик, застав (іпотеки), порук, гарантій, в тому числі за третіх осіб; отримання фінансової допомоги або позик), що вчинятимуться Товариством протягом не більше як одного року з дати прийняття цього рішення, за якими ринкова вартість майна або послуг, що є предметом кожного такого правочину, становить від 10 до 25 відсотків, перевищує 25 відсотків, але менша ніж 50 відсотків або становить 50 і більше відсотків вартості активів Товариства за даними останньої річної фінансової звітності Товариства. </w:t>
            </w:r>
          </w:p>
          <w:p w:rsidR="00A5322D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Гранична сукупна вартість правочинiв - 7000 тис.грн.</w:t>
            </w:r>
          </w:p>
          <w:p w:rsidR="00A5322D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Вартість активів емітента за даними останньої річної фінансової звітності- 7872,5 тис.грн.</w:t>
            </w:r>
          </w:p>
          <w:p w:rsidR="00A5322D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Співвідношення граничної сукупної вартості правочинів до вартості активів емітента за даними останньої річної фінансової звітності (у відсотках) - 88,917%</w:t>
            </w:r>
          </w:p>
          <w:p w:rsidR="00A5322D" w:rsidRPr="00234FFC" w:rsidRDefault="00A5322D" w:rsidP="00ED38A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кількість голосуючих акцій - 2 134 009, кількість голосуючих акцій, що зареєстровані для участі у загальних зборах - 1839166, кількість голосуючих акцій, що проголосували "за"прийняття рішення - 1839166, "проти" - 0.</w:t>
            </w:r>
          </w:p>
        </w:tc>
      </w:tr>
    </w:tbl>
    <w:p w:rsidR="00A5322D" w:rsidRPr="00696ECF" w:rsidRDefault="00A5322D" w:rsidP="00A5322D"/>
    <w:p w:rsidR="003C4C1A" w:rsidRPr="00696ECF" w:rsidRDefault="003C4C1A" w:rsidP="00C86AFD"/>
    <w:sectPr w:rsidR="003C4C1A" w:rsidRPr="00696ECF" w:rsidSect="00A5322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80"/>
    <w:rsid w:val="00020BCB"/>
    <w:rsid w:val="001714DF"/>
    <w:rsid w:val="002D6506"/>
    <w:rsid w:val="003275D1"/>
    <w:rsid w:val="00375E69"/>
    <w:rsid w:val="003C4C1A"/>
    <w:rsid w:val="004263EB"/>
    <w:rsid w:val="0044001B"/>
    <w:rsid w:val="004E61FF"/>
    <w:rsid w:val="00531337"/>
    <w:rsid w:val="00696ECF"/>
    <w:rsid w:val="006C6B5C"/>
    <w:rsid w:val="007A1180"/>
    <w:rsid w:val="007E37D1"/>
    <w:rsid w:val="007F5510"/>
    <w:rsid w:val="00902454"/>
    <w:rsid w:val="009A60E3"/>
    <w:rsid w:val="009F2C05"/>
    <w:rsid w:val="00A372E3"/>
    <w:rsid w:val="00A5322D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E\&#1050;&#1054;&#1056;&#1055;&#1054;&#1056;&#1040;&#1058;&#1048;&#1042;&#1053;&#1040;%20&#1047;&#1042;&#1030;&#1058;&#1053;&#1030;&#1057;&#1058;&#1068;\01%5d%20&#1054;&#1057;&#1054;&#1041;&#1051;&#1048;&#1042;&#1040;\&#1054;&#1057;&#1054;&#1041;&#1045;&#1053;&#1053;&#1040;&#107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B3D2-0C6F-46A9-A4E3-97C88C02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user</dc:creator>
  <cp:lastModifiedBy>user</cp:lastModifiedBy>
  <cp:revision>2</cp:revision>
  <cp:lastPrinted>2013-07-11T13:29:00Z</cp:lastPrinted>
  <dcterms:created xsi:type="dcterms:W3CDTF">2021-04-29T13:43:00Z</dcterms:created>
  <dcterms:modified xsi:type="dcterms:W3CDTF">2021-04-29T13:43:00Z</dcterms:modified>
</cp:coreProperties>
</file>